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58" w:rsidRDefault="00C40858" w:rsidP="00224D33">
      <w:pPr>
        <w:rPr>
          <w:b/>
        </w:rPr>
      </w:pPr>
    </w:p>
    <w:p w:rsidR="00C40858" w:rsidRDefault="00C40858" w:rsidP="00C40858">
      <w:pPr>
        <w:jc w:val="center"/>
        <w:rPr>
          <w:b/>
        </w:rPr>
      </w:pPr>
    </w:p>
    <w:p w:rsidR="00434A4F" w:rsidRDefault="00224D33" w:rsidP="00434A4F">
      <w:pPr>
        <w:jc w:val="right"/>
        <w:rPr>
          <w:b/>
        </w:rPr>
      </w:pPr>
      <w:r>
        <w:rPr>
          <w:b/>
        </w:rPr>
        <w:t>УТВЕРЖДЕНО</w:t>
      </w:r>
    </w:p>
    <w:p w:rsidR="00224D33" w:rsidRPr="00EB4A5B" w:rsidRDefault="00224D33" w:rsidP="00434A4F">
      <w:pPr>
        <w:jc w:val="right"/>
        <w:rPr>
          <w:b/>
        </w:rPr>
      </w:pPr>
      <w:r>
        <w:rPr>
          <w:b/>
        </w:rPr>
        <w:t>приказом</w:t>
      </w:r>
    </w:p>
    <w:p w:rsidR="00434A4F" w:rsidRPr="00EB4A5B" w:rsidRDefault="00224D33" w:rsidP="00434A4F">
      <w:pPr>
        <w:jc w:val="right"/>
        <w:rPr>
          <w:b/>
        </w:rPr>
      </w:pPr>
      <w:r>
        <w:rPr>
          <w:b/>
        </w:rPr>
        <w:t>д</w:t>
      </w:r>
      <w:r w:rsidR="00434A4F" w:rsidRPr="00EB4A5B">
        <w:rPr>
          <w:b/>
        </w:rPr>
        <w:t>иректор</w:t>
      </w:r>
      <w:r>
        <w:rPr>
          <w:b/>
        </w:rPr>
        <w:t>а</w:t>
      </w:r>
      <w:r w:rsidR="00434A4F" w:rsidRPr="00EB4A5B">
        <w:rPr>
          <w:b/>
        </w:rPr>
        <w:t xml:space="preserve"> МБУ КЦСОН</w:t>
      </w:r>
    </w:p>
    <w:p w:rsidR="00434A4F" w:rsidRPr="00EB4A5B" w:rsidRDefault="00434A4F" w:rsidP="00434A4F">
      <w:pPr>
        <w:jc w:val="right"/>
        <w:rPr>
          <w:b/>
        </w:rPr>
      </w:pPr>
      <w:r w:rsidRPr="00EB4A5B">
        <w:rPr>
          <w:b/>
        </w:rPr>
        <w:t>Никольского района</w:t>
      </w:r>
    </w:p>
    <w:p w:rsidR="00434A4F" w:rsidRPr="00EB4A5B" w:rsidRDefault="00434A4F" w:rsidP="00434A4F">
      <w:pPr>
        <w:jc w:val="right"/>
        <w:rPr>
          <w:b/>
        </w:rPr>
      </w:pPr>
      <w:r w:rsidRPr="00EB4A5B">
        <w:rPr>
          <w:b/>
        </w:rPr>
        <w:t>Пензенской области</w:t>
      </w:r>
    </w:p>
    <w:p w:rsidR="00434A4F" w:rsidRPr="00EB4A5B" w:rsidRDefault="00224D33" w:rsidP="00434A4F">
      <w:pPr>
        <w:jc w:val="right"/>
        <w:rPr>
          <w:b/>
        </w:rPr>
      </w:pPr>
      <w:proofErr w:type="spellStart"/>
      <w:r>
        <w:rPr>
          <w:b/>
        </w:rPr>
        <w:t>Н.А.Тресковой</w:t>
      </w:r>
      <w:proofErr w:type="spellEnd"/>
    </w:p>
    <w:p w:rsidR="00434A4F" w:rsidRPr="00EB4A5B" w:rsidRDefault="00434A4F" w:rsidP="00434A4F">
      <w:pPr>
        <w:jc w:val="right"/>
        <w:rPr>
          <w:b/>
        </w:rPr>
      </w:pPr>
      <w:r w:rsidRPr="00EB4A5B">
        <w:rPr>
          <w:b/>
        </w:rPr>
        <w:t>от «_</w:t>
      </w:r>
      <w:r w:rsidR="00224D33">
        <w:rPr>
          <w:b/>
        </w:rPr>
        <w:t>01_»__декабря</w:t>
      </w:r>
      <w:r w:rsidR="00EB4A5B">
        <w:rPr>
          <w:b/>
        </w:rPr>
        <w:t>____2020</w:t>
      </w:r>
      <w:r w:rsidR="00224D33">
        <w:rPr>
          <w:b/>
        </w:rPr>
        <w:t xml:space="preserve"> №108/1</w:t>
      </w:r>
    </w:p>
    <w:p w:rsidR="00434A4F" w:rsidRDefault="00434A4F" w:rsidP="00C40858">
      <w:pPr>
        <w:jc w:val="center"/>
        <w:rPr>
          <w:b/>
        </w:rPr>
      </w:pPr>
    </w:p>
    <w:p w:rsidR="00C40858" w:rsidRPr="00E03064" w:rsidRDefault="003C3213" w:rsidP="00C40858">
      <w:pPr>
        <w:jc w:val="center"/>
        <w:rPr>
          <w:b/>
        </w:rPr>
      </w:pPr>
      <w:r w:rsidRPr="00C40858">
        <w:rPr>
          <w:b/>
        </w:rPr>
        <w:t>ПОЛОЖЕНИЕ О ПОРЯДКЕ ФОРМИРОВАНИЯ, ВЕДЕНИЯ И ХРАНЕНИЯ ЛИЧНЫХ ДЕЛ ПОЛУЧАТЕЛЕЙ СОЦИАЛЬНЫХ УСЛУГ</w:t>
      </w:r>
      <w:r w:rsidR="002E7CB4">
        <w:rPr>
          <w:b/>
        </w:rPr>
        <w:t xml:space="preserve"> В МУНИЦИПАЛЬНОМ БЮДЖЕТНОМ УЧРЕЖДЕНИИ «</w:t>
      </w:r>
      <w:r w:rsidR="00ED1F58">
        <w:rPr>
          <w:b/>
        </w:rPr>
        <w:t>КОМПЛЕКСНЫЙ ЦЕНТР СОЦИАЛЬНОГО ОБСЛУЖИВАНИЯ НАСЕЛЕНИЯ НИКОЛЬСКОГО РАЙОНА                         ПЕНЗЕНСКОЙ ОБЛАСТИ</w:t>
      </w:r>
      <w:r w:rsidR="002E7CB4">
        <w:rPr>
          <w:b/>
        </w:rPr>
        <w:t>»</w:t>
      </w:r>
    </w:p>
    <w:p w:rsidR="00715194" w:rsidRPr="00E03064" w:rsidRDefault="00715194" w:rsidP="00C40858">
      <w:pPr>
        <w:jc w:val="center"/>
        <w:rPr>
          <w:b/>
        </w:rPr>
      </w:pPr>
    </w:p>
    <w:p w:rsidR="00C40858" w:rsidRPr="00B11BFF" w:rsidRDefault="003C3213" w:rsidP="002E7CB4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1BFF">
        <w:rPr>
          <w:b/>
          <w:sz w:val="28"/>
          <w:szCs w:val="28"/>
        </w:rPr>
        <w:t>Общие положения</w:t>
      </w:r>
    </w:p>
    <w:p w:rsidR="002E7CB4" w:rsidRPr="00B11BFF" w:rsidRDefault="00EC2632" w:rsidP="00EC2632">
      <w:pPr>
        <w:ind w:firstLine="360"/>
        <w:jc w:val="both"/>
        <w:rPr>
          <w:b/>
          <w:sz w:val="28"/>
          <w:szCs w:val="28"/>
        </w:rPr>
      </w:pPr>
      <w:r w:rsidRPr="00B11BFF">
        <w:rPr>
          <w:sz w:val="28"/>
          <w:szCs w:val="28"/>
        </w:rPr>
        <w:t>Настоящее По</w:t>
      </w:r>
      <w:r w:rsidR="002E7CB4" w:rsidRPr="00B11BFF">
        <w:rPr>
          <w:sz w:val="28"/>
          <w:szCs w:val="28"/>
        </w:rPr>
        <w:t>ложение разработано в целях правила ведения, учета и хранения личных дел получателей социальных услуг</w:t>
      </w:r>
      <w:r w:rsidRPr="00B11BFF">
        <w:rPr>
          <w:sz w:val="28"/>
          <w:szCs w:val="28"/>
        </w:rPr>
        <w:t>-граждан пожилого возраста и инвалидов в муниципальном бюджетном учреждении «Комплексный</w:t>
      </w:r>
      <w:r w:rsidRPr="00B11BFF">
        <w:rPr>
          <w:sz w:val="28"/>
          <w:szCs w:val="28"/>
        </w:rPr>
        <w:tab/>
        <w:t xml:space="preserve"> центр социального обслуживания населения Никольского района Пензенской области» (далее-Учреждение).</w:t>
      </w:r>
    </w:p>
    <w:p w:rsidR="00C4085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1. Положение разработано в соответствии с нормативно-правовыми актами Российской Федерации и </w:t>
      </w:r>
      <w:r w:rsidR="00EC2632" w:rsidRPr="00B11BFF">
        <w:rPr>
          <w:sz w:val="28"/>
          <w:szCs w:val="28"/>
        </w:rPr>
        <w:t xml:space="preserve">Пензенской </w:t>
      </w:r>
      <w:r w:rsidRPr="00B11BFF">
        <w:rPr>
          <w:sz w:val="28"/>
          <w:szCs w:val="28"/>
        </w:rPr>
        <w:t>области:</w:t>
      </w:r>
    </w:p>
    <w:p w:rsidR="00C40858" w:rsidRPr="00B11BFF" w:rsidRDefault="00C40858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</w:t>
      </w:r>
      <w:r w:rsidR="003C3213" w:rsidRPr="00B11BFF">
        <w:rPr>
          <w:sz w:val="28"/>
          <w:szCs w:val="28"/>
        </w:rPr>
        <w:t xml:space="preserve"> Федеральный закон от 28.12.2013 №442-ФЗ «Об основах социального обслуживания граждан в Российской Федерации»;</w:t>
      </w:r>
    </w:p>
    <w:p w:rsidR="00C4085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</w:t>
      </w:r>
      <w:r w:rsidR="00C40858" w:rsidRPr="00B11BFF">
        <w:rPr>
          <w:sz w:val="28"/>
          <w:szCs w:val="28"/>
        </w:rPr>
        <w:t>-</w:t>
      </w:r>
      <w:r w:rsidRPr="00B11BFF">
        <w:rPr>
          <w:sz w:val="28"/>
          <w:szCs w:val="28"/>
        </w:rPr>
        <w:t>Семейный кодекс Российской Федерации;</w:t>
      </w:r>
    </w:p>
    <w:p w:rsidR="00C40858" w:rsidRPr="00B11BFF" w:rsidRDefault="00C40858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-Закон Пензенской области от 26.11.2014 №2645 «О социальном обслуживании граждан в Пензенской области»;</w:t>
      </w:r>
    </w:p>
    <w:p w:rsidR="002E7CB4" w:rsidRPr="00B11BFF" w:rsidRDefault="00C40858" w:rsidP="00EC2632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-Постановление Правительства Пензенской области от 10.11.2015 №625-пП «Об утверждении Порядка предоставления социальных услуг в форме социального обслуживания на дому</w:t>
      </w:r>
      <w:r w:rsidR="002E7CB4" w:rsidRPr="00B11BFF">
        <w:rPr>
          <w:sz w:val="28"/>
          <w:szCs w:val="28"/>
        </w:rPr>
        <w:t xml:space="preserve"> </w:t>
      </w:r>
      <w:r w:rsidRPr="00B11BFF">
        <w:rPr>
          <w:sz w:val="28"/>
          <w:szCs w:val="28"/>
        </w:rPr>
        <w:t>в Пензенской области»</w:t>
      </w:r>
      <w:r w:rsidR="002E7CB4" w:rsidRPr="00B11BFF">
        <w:rPr>
          <w:sz w:val="28"/>
          <w:szCs w:val="28"/>
        </w:rPr>
        <w:t xml:space="preserve"> (с последующими изменениями);</w:t>
      </w:r>
    </w:p>
    <w:p w:rsidR="00576C82" w:rsidRPr="00B11BFF" w:rsidRDefault="00576C82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-Постановление Правительства Пензенской области от 19.08.2015 №78-пП «Об утверждении размера платы за предоставление социальных услуг и порядка ее взимания»</w:t>
      </w:r>
    </w:p>
    <w:p w:rsidR="00ED1F58" w:rsidRPr="00B11BFF" w:rsidRDefault="00ED1F58" w:rsidP="00E61A0F">
      <w:pPr>
        <w:jc w:val="both"/>
        <w:rPr>
          <w:color w:val="000000"/>
          <w:sz w:val="28"/>
          <w:szCs w:val="28"/>
        </w:rPr>
      </w:pPr>
      <w:r w:rsidRPr="00B11BFF">
        <w:rPr>
          <w:sz w:val="28"/>
          <w:szCs w:val="28"/>
        </w:rPr>
        <w:t>-</w:t>
      </w:r>
      <w:r w:rsidRPr="00B11BFF">
        <w:rPr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ED1F5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2. Ответственные за ведение, учет и хранение личных дел получателей социальных услуг назначается приказом директора Учреждения. </w:t>
      </w:r>
    </w:p>
    <w:p w:rsidR="00AD6ECE" w:rsidRPr="00B11BFF" w:rsidRDefault="00ED1F58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3</w:t>
      </w:r>
      <w:r w:rsidR="003C3213" w:rsidRPr="00B11BFF">
        <w:rPr>
          <w:sz w:val="28"/>
          <w:szCs w:val="28"/>
        </w:rPr>
        <w:t xml:space="preserve">. </w:t>
      </w:r>
      <w:r w:rsidR="00AD6ECE" w:rsidRPr="00B11BFF">
        <w:rPr>
          <w:sz w:val="28"/>
          <w:szCs w:val="28"/>
        </w:rPr>
        <w:t xml:space="preserve"> Основанием для предоставления социальных услуг в форме социального обслуживания на дому является индивидуальная программа предоставления социальных услуг и заявление гражданина или его законного представителя о предоставлении социального обслуживания</w:t>
      </w:r>
      <w:r w:rsidR="00751A37" w:rsidRPr="00B11BFF">
        <w:rPr>
          <w:sz w:val="28"/>
          <w:szCs w:val="28"/>
        </w:rPr>
        <w:t>.</w:t>
      </w:r>
    </w:p>
    <w:p w:rsidR="00AD6ECE" w:rsidRPr="00B11BFF" w:rsidRDefault="00DD5F23" w:rsidP="00DD5F23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     </w:t>
      </w:r>
      <w:r w:rsidR="00AD6ECE" w:rsidRPr="00B11BFF">
        <w:rPr>
          <w:sz w:val="28"/>
          <w:szCs w:val="28"/>
        </w:rPr>
        <w:t>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информация о гражданах, нуждающихся в предоставлении срочных социальных услуг, поступившее в муниципальные органы социальной защиты населения либо поставщику социальных услуг</w:t>
      </w:r>
      <w:r w:rsidR="00EC2632" w:rsidRPr="00B11BFF">
        <w:rPr>
          <w:sz w:val="28"/>
          <w:szCs w:val="28"/>
        </w:rPr>
        <w:t>.</w:t>
      </w:r>
    </w:p>
    <w:p w:rsidR="00AD6ECE" w:rsidRPr="00B11BFF" w:rsidRDefault="00AD6ECE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lastRenderedPageBreak/>
        <w:t>4. При увольнении или переводе на другую работу специалист</w:t>
      </w:r>
      <w:r w:rsidR="00DD5F23" w:rsidRPr="00B11BFF">
        <w:rPr>
          <w:sz w:val="28"/>
          <w:szCs w:val="28"/>
        </w:rPr>
        <w:t>а</w:t>
      </w:r>
      <w:r w:rsidRPr="00B11BFF">
        <w:rPr>
          <w:sz w:val="28"/>
          <w:szCs w:val="28"/>
        </w:rPr>
        <w:t xml:space="preserve"> составляется акт о сдаче-приеме дел и документов, который утверждается заведующим отделением и согласовывается директором МБУ КЦСОН Никольского района Пензенской области</w:t>
      </w:r>
      <w:r w:rsidR="00EC2632" w:rsidRPr="00B11BFF">
        <w:rPr>
          <w:sz w:val="28"/>
          <w:szCs w:val="28"/>
        </w:rPr>
        <w:t>.</w:t>
      </w:r>
    </w:p>
    <w:p w:rsidR="00AD6ECE" w:rsidRPr="00B11BFF" w:rsidRDefault="00751A3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5.Социальные услуги предоставляются гражданину на основании договора о предоставлении социальных услуг заключаемого между Учреждением и гражданином или законным представителем, в течение суток </w:t>
      </w:r>
      <w:proofErr w:type="gramStart"/>
      <w:r w:rsidRPr="00B11BFF">
        <w:rPr>
          <w:sz w:val="28"/>
          <w:szCs w:val="28"/>
        </w:rPr>
        <w:t>с даты пред</w:t>
      </w:r>
      <w:r w:rsidR="00EC2632" w:rsidRPr="00B11BFF">
        <w:rPr>
          <w:sz w:val="28"/>
          <w:szCs w:val="28"/>
        </w:rPr>
        <w:t>о</w:t>
      </w:r>
      <w:r w:rsidRPr="00B11BFF">
        <w:rPr>
          <w:sz w:val="28"/>
          <w:szCs w:val="28"/>
        </w:rPr>
        <w:t>ставления</w:t>
      </w:r>
      <w:proofErr w:type="gramEnd"/>
      <w:r w:rsidRPr="00B11BFF">
        <w:rPr>
          <w:sz w:val="28"/>
          <w:szCs w:val="28"/>
        </w:rPr>
        <w:t xml:space="preserve"> индивидуальной программы поставщику социальных услуг. Срочные социальные услуги предоставляются на бездоговорной основе.</w:t>
      </w:r>
    </w:p>
    <w:p w:rsidR="00303C00" w:rsidRPr="00B11BFF" w:rsidRDefault="00303C00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6. </w:t>
      </w:r>
      <w:proofErr w:type="gramStart"/>
      <w:r w:rsidRPr="00B11BFF">
        <w:rPr>
          <w:sz w:val="28"/>
          <w:szCs w:val="28"/>
        </w:rPr>
        <w:t>Контроль за</w:t>
      </w:r>
      <w:proofErr w:type="gramEnd"/>
      <w:r w:rsidRPr="00B11BFF">
        <w:rPr>
          <w:sz w:val="28"/>
          <w:szCs w:val="28"/>
        </w:rPr>
        <w:t xml:space="preserve"> движением личных дел получателей социальных услуг в Учреждении осуществляет заведующий отделением.</w:t>
      </w:r>
    </w:p>
    <w:p w:rsidR="00ED1F58" w:rsidRPr="00B11BFF" w:rsidRDefault="00ED1F58" w:rsidP="00DD5F23">
      <w:pPr>
        <w:jc w:val="center"/>
        <w:rPr>
          <w:sz w:val="28"/>
          <w:szCs w:val="28"/>
        </w:rPr>
      </w:pPr>
    </w:p>
    <w:p w:rsidR="00ED1F58" w:rsidRPr="00B11BFF" w:rsidRDefault="003C3213" w:rsidP="00DD5F23">
      <w:pPr>
        <w:jc w:val="center"/>
        <w:rPr>
          <w:b/>
          <w:sz w:val="28"/>
          <w:szCs w:val="28"/>
        </w:rPr>
      </w:pPr>
      <w:r w:rsidRPr="00B11BFF">
        <w:rPr>
          <w:b/>
          <w:sz w:val="28"/>
          <w:szCs w:val="28"/>
        </w:rPr>
        <w:t>I</w:t>
      </w:r>
      <w:r w:rsidR="00715194" w:rsidRPr="00B11BFF">
        <w:rPr>
          <w:b/>
          <w:sz w:val="28"/>
          <w:szCs w:val="28"/>
        </w:rPr>
        <w:t>I. Ведение личных дел</w:t>
      </w:r>
    </w:p>
    <w:p w:rsidR="00B62D0B" w:rsidRPr="00B11BFF" w:rsidRDefault="00DD5F2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1</w:t>
      </w:r>
      <w:r w:rsidR="003C3213" w:rsidRPr="00B11BFF">
        <w:rPr>
          <w:sz w:val="28"/>
          <w:szCs w:val="28"/>
        </w:rPr>
        <w:t>.</w:t>
      </w:r>
      <w:r w:rsidRPr="00B11BFF">
        <w:rPr>
          <w:sz w:val="28"/>
          <w:szCs w:val="28"/>
        </w:rPr>
        <w:t xml:space="preserve"> </w:t>
      </w:r>
      <w:r w:rsidR="003C3213" w:rsidRPr="00B11BFF">
        <w:rPr>
          <w:sz w:val="28"/>
          <w:szCs w:val="28"/>
        </w:rPr>
        <w:t>На каждого получателя социальных услуг</w:t>
      </w:r>
      <w:r w:rsidR="00B62D0B" w:rsidRPr="00B11BFF">
        <w:rPr>
          <w:sz w:val="28"/>
          <w:szCs w:val="28"/>
        </w:rPr>
        <w:t xml:space="preserve">, за исключением получателей срочных социальных услуг, </w:t>
      </w:r>
      <w:r w:rsidR="003C3213" w:rsidRPr="00B11BFF">
        <w:rPr>
          <w:sz w:val="28"/>
          <w:szCs w:val="28"/>
        </w:rPr>
        <w:t xml:space="preserve"> формируется личное дело. Личное дело комплектуется основными обязательными документами, необходимыми для предоставления социальных услуг в форме с</w:t>
      </w:r>
      <w:r w:rsidR="00AD6ECE" w:rsidRPr="00B11BFF">
        <w:rPr>
          <w:sz w:val="28"/>
          <w:szCs w:val="28"/>
        </w:rPr>
        <w:t>оциального обслуживания на дому</w:t>
      </w:r>
      <w:r w:rsidR="00EC2632" w:rsidRPr="00B11BFF">
        <w:rPr>
          <w:sz w:val="28"/>
          <w:szCs w:val="28"/>
        </w:rPr>
        <w:t>.</w:t>
      </w:r>
      <w:r w:rsidR="003C3213" w:rsidRPr="00B11BFF">
        <w:rPr>
          <w:sz w:val="28"/>
          <w:szCs w:val="28"/>
        </w:rPr>
        <w:t xml:space="preserve"> Личное дело ведется со дня приема получателя социальных услуг на социальное обслуживание и до момента прекращения предоставления социальных услуг. </w:t>
      </w:r>
      <w:proofErr w:type="gramStart"/>
      <w:r w:rsidR="003C3213" w:rsidRPr="00B11BFF">
        <w:rPr>
          <w:sz w:val="28"/>
          <w:szCs w:val="28"/>
        </w:rPr>
        <w:t>В соответствии с пунктом 1 части 1 статьи 11 Федерального закона от 28.12.2013№442-ФЗ «Об основах социального обслуживания граждан в Российской Федерации» Учреждение имеет право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 и ведения личного дела получателя социальных услуг.</w:t>
      </w:r>
      <w:proofErr w:type="gramEnd"/>
    </w:p>
    <w:p w:rsidR="00AD6ECE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2. Каждый вновь прибывший получате</w:t>
      </w:r>
      <w:r w:rsidR="00DD5F23" w:rsidRPr="00B11BFF">
        <w:rPr>
          <w:sz w:val="28"/>
          <w:szCs w:val="28"/>
        </w:rPr>
        <w:t>ль социальных услуг вносится в Ж</w:t>
      </w:r>
      <w:r w:rsidRPr="00B11BFF">
        <w:rPr>
          <w:sz w:val="28"/>
          <w:szCs w:val="28"/>
        </w:rPr>
        <w:t xml:space="preserve">урнал </w:t>
      </w:r>
      <w:proofErr w:type="gramStart"/>
      <w:r w:rsidRPr="00B11BFF">
        <w:rPr>
          <w:sz w:val="28"/>
          <w:szCs w:val="28"/>
        </w:rPr>
        <w:t>учета прибытия/выбытия получателей социальных услуг</w:t>
      </w:r>
      <w:proofErr w:type="gramEnd"/>
      <w:r w:rsidRPr="00B11BFF">
        <w:rPr>
          <w:sz w:val="28"/>
          <w:szCs w:val="28"/>
        </w:rPr>
        <w:t xml:space="preserve"> с проставлением порядкового номера, даты прибытия </w:t>
      </w:r>
      <w:r w:rsidR="004E44A7" w:rsidRPr="00B11BFF">
        <w:rPr>
          <w:sz w:val="28"/>
          <w:szCs w:val="28"/>
        </w:rPr>
        <w:t>и номера ИППСУ (Приложение).</w:t>
      </w:r>
      <w:r w:rsidRPr="00B11BFF">
        <w:rPr>
          <w:sz w:val="28"/>
          <w:szCs w:val="28"/>
        </w:rPr>
        <w:t xml:space="preserve"> Личному делу присваивается порядковый номер. Номер личного дела имеет цифробуквенное обозначение. </w:t>
      </w:r>
    </w:p>
    <w:p w:rsidR="00AD6ECE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3. На титульном листе личного дела указывается наименование Учреждения, структурный код, номер личного дела, дата прибытия (и впоследствии выбытия), фамилия, имя, отчество получателя социальных услу</w:t>
      </w:r>
      <w:r w:rsidR="00B62D0B" w:rsidRPr="00B11BFF">
        <w:rPr>
          <w:sz w:val="28"/>
          <w:szCs w:val="28"/>
        </w:rPr>
        <w:t>г, дата рождения</w:t>
      </w:r>
      <w:r w:rsidRPr="00B11BFF">
        <w:rPr>
          <w:sz w:val="28"/>
          <w:szCs w:val="28"/>
        </w:rPr>
        <w:t>.</w:t>
      </w:r>
    </w:p>
    <w:p w:rsidR="00AD6ECE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4. Документы в личном деле располагаются по мере их поступления. Делопроизводство ведётся на русском языке.</w:t>
      </w:r>
    </w:p>
    <w:p w:rsidR="00AD6ECE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5. Личное дело получателя социальных услуг ведется по разделам: </w:t>
      </w:r>
    </w:p>
    <w:p w:rsidR="00B62D0B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5.1. Первый раздел личного дела содержит постоянный набор документов, предоставленных получателем социальных услуг при его приеме на полустационарное социальное обслуживание,</w:t>
      </w:r>
      <w:r w:rsidR="008C511C" w:rsidRPr="00B11BFF">
        <w:rPr>
          <w:sz w:val="28"/>
          <w:szCs w:val="28"/>
        </w:rPr>
        <w:t xml:space="preserve"> стационарное социальное обслуживание,</w:t>
      </w:r>
      <w:r w:rsidRPr="00B11BFF">
        <w:rPr>
          <w:sz w:val="28"/>
          <w:szCs w:val="28"/>
        </w:rPr>
        <w:t xml:space="preserve"> в форме социального обслуживания на </w:t>
      </w:r>
      <w:r w:rsidR="008C511C" w:rsidRPr="00B11BFF">
        <w:rPr>
          <w:sz w:val="28"/>
          <w:szCs w:val="28"/>
        </w:rPr>
        <w:t>дому</w:t>
      </w:r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5.2. </w:t>
      </w:r>
      <w:proofErr w:type="gramStart"/>
      <w:r w:rsidRPr="00B11BFF">
        <w:rPr>
          <w:sz w:val="28"/>
          <w:szCs w:val="28"/>
        </w:rPr>
        <w:t xml:space="preserve">Во втором разделе личного дела </w:t>
      </w:r>
      <w:r w:rsidR="00B11BFF">
        <w:rPr>
          <w:sz w:val="28"/>
          <w:szCs w:val="28"/>
        </w:rPr>
        <w:t>хранят</w:t>
      </w:r>
      <w:r w:rsidRPr="00B11BFF">
        <w:rPr>
          <w:sz w:val="28"/>
          <w:szCs w:val="28"/>
        </w:rPr>
        <w:t>ся в хронологическом порядке документы, относящиеся к личности получателя социальных услуг, сформированные со дня приема получателя социальных услуг на социальное обслуживание и до момента прекращения предоставления социальных услуг</w:t>
      </w:r>
      <w:r w:rsidR="004D1498" w:rsidRPr="00B11BFF">
        <w:rPr>
          <w:sz w:val="28"/>
          <w:szCs w:val="28"/>
        </w:rPr>
        <w:t xml:space="preserve">: </w:t>
      </w:r>
      <w:r w:rsidRPr="00B11BFF">
        <w:rPr>
          <w:sz w:val="28"/>
          <w:szCs w:val="28"/>
        </w:rPr>
        <w:t xml:space="preserve">договор о </w:t>
      </w:r>
      <w:r w:rsidR="004D1498" w:rsidRPr="00B11BFF">
        <w:rPr>
          <w:sz w:val="28"/>
          <w:szCs w:val="28"/>
        </w:rPr>
        <w:t xml:space="preserve">предоставлении социальных услуг, </w:t>
      </w:r>
      <w:r w:rsidRPr="00B11BFF">
        <w:rPr>
          <w:sz w:val="28"/>
          <w:szCs w:val="28"/>
        </w:rPr>
        <w:t xml:space="preserve">договор о предоставлении </w:t>
      </w:r>
      <w:r w:rsidRPr="00B11BFF">
        <w:rPr>
          <w:sz w:val="28"/>
          <w:szCs w:val="28"/>
        </w:rPr>
        <w:lastRenderedPageBreak/>
        <w:t>дополнительных услу</w:t>
      </w:r>
      <w:r w:rsidR="004D1498" w:rsidRPr="00B11BFF">
        <w:rPr>
          <w:sz w:val="28"/>
          <w:szCs w:val="28"/>
        </w:rPr>
        <w:t xml:space="preserve">г, </w:t>
      </w:r>
      <w:r w:rsidRPr="00B11BFF">
        <w:rPr>
          <w:sz w:val="28"/>
          <w:szCs w:val="28"/>
        </w:rPr>
        <w:t>дополнительное соглашение к договору о предоставлении социальных услуг социального обслуживания</w:t>
      </w:r>
      <w:r w:rsidR="004D1498" w:rsidRPr="00B11BFF">
        <w:rPr>
          <w:sz w:val="28"/>
          <w:szCs w:val="28"/>
        </w:rPr>
        <w:t>.</w:t>
      </w:r>
      <w:proofErr w:type="gramEnd"/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5.3. Третий раздел личного дела содержит:</w:t>
      </w:r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-общую переписку;</w:t>
      </w:r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-иные документы, сформированные со дня приема получателя социальных услуг и до момента прекращения предоставления социальных услуг в и отражающие деятельность учреждения. </w:t>
      </w:r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6. Документы по мере их поступления формируются в личном деле по разделам в хронологической последовательности.</w:t>
      </w:r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7. Личное дело формируется в отдельную папку в течение трех рабочих дней с момента заключения договора о предоставлении социальных услуг.</w:t>
      </w:r>
    </w:p>
    <w:p w:rsidR="004D1498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8. Для учёта документов, помещенных в личное дело, составляется опись документов личного дела по форме </w:t>
      </w:r>
      <w:proofErr w:type="gramStart"/>
      <w:r w:rsidRPr="00B11BFF">
        <w:rPr>
          <w:sz w:val="28"/>
          <w:szCs w:val="28"/>
        </w:rPr>
        <w:t>согласно Приложения</w:t>
      </w:r>
      <w:proofErr w:type="gramEnd"/>
      <w:r w:rsidR="009322F2" w:rsidRPr="00B11BFF">
        <w:rPr>
          <w:sz w:val="28"/>
          <w:szCs w:val="28"/>
        </w:rPr>
        <w:t xml:space="preserve"> 2</w:t>
      </w:r>
      <w:r w:rsidRPr="00B11BFF">
        <w:rPr>
          <w:sz w:val="28"/>
          <w:szCs w:val="28"/>
        </w:rPr>
        <w:t xml:space="preserve"> </w:t>
      </w:r>
    </w:p>
    <w:p w:rsidR="009322F2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9.Доступ к документам личного дела получателей социальных услуг имеют сотрудники Учреждения. Изучение Личного дела происходит исключительно в кабинете в присутствии специалиста, ответственного за хранение личных дел. Выдача личных дел сотрудникам не осуществляется.</w:t>
      </w:r>
    </w:p>
    <w:p w:rsidR="002B5A16" w:rsidRPr="00B11BFF" w:rsidRDefault="002B5A16" w:rsidP="00E61A0F">
      <w:pPr>
        <w:jc w:val="both"/>
        <w:rPr>
          <w:sz w:val="28"/>
          <w:szCs w:val="28"/>
        </w:rPr>
      </w:pPr>
    </w:p>
    <w:p w:rsidR="008C511C" w:rsidRPr="00B11BFF" w:rsidRDefault="008C511C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10.</w:t>
      </w:r>
      <w:r w:rsidR="00861F57" w:rsidRPr="00B11BFF">
        <w:rPr>
          <w:sz w:val="28"/>
          <w:szCs w:val="28"/>
        </w:rPr>
        <w:t xml:space="preserve">В форме социального обслуживания на дому: </w:t>
      </w:r>
    </w:p>
    <w:p w:rsidR="008C511C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1) Заявление гражданина или его законного представителя; </w:t>
      </w:r>
    </w:p>
    <w:p w:rsidR="008C511C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2) документ, удостоверяющий личность получателя социальных услуг; </w:t>
      </w:r>
    </w:p>
    <w:p w:rsidR="008C511C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3) документ, подтверждающий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8C511C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</w:t>
      </w:r>
      <w:proofErr w:type="gramStart"/>
      <w:r w:rsidRPr="00B11BFF">
        <w:rPr>
          <w:sz w:val="28"/>
          <w:szCs w:val="28"/>
        </w:rPr>
        <w:t xml:space="preserve">4) копия индивидуальной программы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(предоставляется по собственной инициативе получателя социальных услуг); </w:t>
      </w:r>
      <w:proofErr w:type="gramEnd"/>
    </w:p>
    <w:p w:rsidR="008C511C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5) копия документа о месте проживания или пребывания получателя социальных услуг; </w:t>
      </w:r>
    </w:p>
    <w:p w:rsidR="008C511C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6) копия документа о составе семьи получателя социальных услуг (справка о составе семьи, выписка из домовой книги, выписка из финансово-лицевого счета и пр</w:t>
      </w:r>
      <w:r w:rsidR="00EB4A5B">
        <w:rPr>
          <w:sz w:val="28"/>
          <w:szCs w:val="28"/>
        </w:rPr>
        <w:t>.</w:t>
      </w:r>
      <w:r w:rsidRPr="00B11BFF">
        <w:rPr>
          <w:sz w:val="28"/>
          <w:szCs w:val="28"/>
        </w:rPr>
        <w:t>);</w:t>
      </w:r>
    </w:p>
    <w:p w:rsidR="00861F57" w:rsidRPr="00B11BFF" w:rsidRDefault="00861F57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</w:t>
      </w:r>
      <w:proofErr w:type="gramStart"/>
      <w:r w:rsidRPr="00B11BFF">
        <w:rPr>
          <w:sz w:val="28"/>
          <w:szCs w:val="28"/>
        </w:rPr>
        <w:t>7) документы о доходах получателя социальных услуг и членов его семьи (при наличии) и принадлежащем ему имуществе на праве собственности, необходимые для определения среднедушевого дохода для предоставления социальных услуг бесплатно, установленного Постановлением Правительства</w:t>
      </w:r>
      <w:r w:rsidR="00576C82" w:rsidRPr="00B11BFF">
        <w:rPr>
          <w:sz w:val="28"/>
          <w:szCs w:val="28"/>
        </w:rPr>
        <w:t xml:space="preserve"> Российской Федерации от 18.10.2014 №1075 «Об утверждении Правил определения среднедушевого дохода для предоставления социальных услуг бесплатно», Постановлением Правительства Пензенской области от 19.08.2015 №78-пП «Об утверждении размера платы</w:t>
      </w:r>
      <w:proofErr w:type="gramEnd"/>
      <w:r w:rsidR="00576C82" w:rsidRPr="00B11BFF">
        <w:rPr>
          <w:sz w:val="28"/>
          <w:szCs w:val="28"/>
        </w:rPr>
        <w:t xml:space="preserve"> за предоставление социальных услуг и порядка ее взимания»</w:t>
      </w:r>
    </w:p>
    <w:p w:rsidR="00B11BFF" w:rsidRPr="00B11BFF" w:rsidRDefault="00B11BFF" w:rsidP="00B11BF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8)справка медицинской организации о состоянии здоровья заявителя и отсутствия противопоказаний к приему в отделение</w:t>
      </w:r>
    </w:p>
    <w:p w:rsidR="008C511C" w:rsidRPr="00B11BFF" w:rsidRDefault="00B11BFF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9</w:t>
      </w:r>
      <w:r w:rsidR="008C511C" w:rsidRPr="00B11BFF">
        <w:rPr>
          <w:sz w:val="28"/>
          <w:szCs w:val="28"/>
        </w:rPr>
        <w:t>) договор о предоставлении социальных услуг;</w:t>
      </w:r>
    </w:p>
    <w:p w:rsidR="008C511C" w:rsidRPr="00B11BFF" w:rsidRDefault="00B11BFF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lastRenderedPageBreak/>
        <w:t>10</w:t>
      </w:r>
      <w:r w:rsidR="008C511C" w:rsidRPr="00B11BFF">
        <w:rPr>
          <w:sz w:val="28"/>
          <w:szCs w:val="28"/>
        </w:rPr>
        <w:t>)</w:t>
      </w:r>
      <w:r w:rsidR="004E44A7" w:rsidRPr="00B11BFF">
        <w:rPr>
          <w:sz w:val="28"/>
          <w:szCs w:val="28"/>
        </w:rPr>
        <w:t xml:space="preserve"> </w:t>
      </w:r>
      <w:r w:rsidR="008C511C" w:rsidRPr="00B11BFF">
        <w:rPr>
          <w:sz w:val="28"/>
          <w:szCs w:val="28"/>
        </w:rPr>
        <w:t>расчет платы за социальное обслуживание</w:t>
      </w:r>
    </w:p>
    <w:p w:rsidR="00B11BFF" w:rsidRPr="00B11BFF" w:rsidRDefault="00B11BFF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11</w:t>
      </w:r>
      <w:r w:rsidR="0013736C" w:rsidRPr="00B11BFF">
        <w:rPr>
          <w:sz w:val="28"/>
          <w:szCs w:val="28"/>
        </w:rPr>
        <w:t>) копия справки, подтверждающей факт установления инвалидности, выданной федеральным государственным учреждением медик</w:t>
      </w:r>
      <w:proofErr w:type="gramStart"/>
      <w:r w:rsidR="0013736C" w:rsidRPr="00B11BFF">
        <w:rPr>
          <w:sz w:val="28"/>
          <w:szCs w:val="28"/>
        </w:rPr>
        <w:t>о-</w:t>
      </w:r>
      <w:proofErr w:type="gramEnd"/>
      <w:r w:rsidR="0013736C" w:rsidRPr="00B11BFF">
        <w:rPr>
          <w:sz w:val="28"/>
          <w:szCs w:val="28"/>
        </w:rPr>
        <w:t xml:space="preserve"> социальной экспертизы, для инвалидов, в том числе детей-инвалидов (при наличии инвалидности).</w:t>
      </w:r>
    </w:p>
    <w:p w:rsidR="009322F2" w:rsidRPr="00B11BFF" w:rsidRDefault="009322F2" w:rsidP="00E61A0F">
      <w:pPr>
        <w:jc w:val="both"/>
        <w:rPr>
          <w:sz w:val="28"/>
          <w:szCs w:val="28"/>
        </w:rPr>
      </w:pPr>
    </w:p>
    <w:p w:rsidR="00715194" w:rsidRPr="00B11BFF" w:rsidRDefault="00715194" w:rsidP="00E61A0F">
      <w:pPr>
        <w:jc w:val="both"/>
        <w:rPr>
          <w:sz w:val="28"/>
          <w:szCs w:val="28"/>
        </w:rPr>
      </w:pPr>
    </w:p>
    <w:p w:rsidR="00715194" w:rsidRPr="00B11BFF" w:rsidRDefault="008B04C1" w:rsidP="00E61A0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5194" w:rsidRPr="00B11BFF">
        <w:rPr>
          <w:sz w:val="28"/>
          <w:szCs w:val="28"/>
        </w:rPr>
        <w:t>. При формировании дел необходимо соблюдать следующие общие правила:</w:t>
      </w:r>
    </w:p>
    <w:p w:rsidR="00715194" w:rsidRPr="00B11BFF" w:rsidRDefault="00715194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-помещать в дело только исполненные, правильно оформленные документы в соответствии с действующим законодательством; </w:t>
      </w:r>
    </w:p>
    <w:p w:rsidR="00715194" w:rsidRPr="00B11BFF" w:rsidRDefault="00715194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-группировать в дело документы одного календарного года, за исключением переходящих дел;</w:t>
      </w:r>
    </w:p>
    <w:p w:rsidR="00715194" w:rsidRPr="00B11BFF" w:rsidRDefault="00715194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-помещать в дела заверенные ксерокопии документов, </w:t>
      </w:r>
      <w:proofErr w:type="spellStart"/>
      <w:r w:rsidRPr="00B11BFF">
        <w:rPr>
          <w:sz w:val="28"/>
          <w:szCs w:val="28"/>
        </w:rPr>
        <w:t>факсограммы</w:t>
      </w:r>
      <w:proofErr w:type="spellEnd"/>
      <w:r w:rsidRPr="00B11BFF">
        <w:rPr>
          <w:sz w:val="28"/>
          <w:szCs w:val="28"/>
        </w:rPr>
        <w:t>, телефонограммы на общих основаниях;</w:t>
      </w:r>
    </w:p>
    <w:p w:rsidR="002B5A16" w:rsidRPr="00B11BFF" w:rsidRDefault="00715194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-в дело не должны помещаться документы, подлежащие возврату, лишние экземпляры, черновики. </w:t>
      </w:r>
      <w:r w:rsidR="009322F2" w:rsidRPr="00B11BFF">
        <w:rPr>
          <w:sz w:val="28"/>
          <w:szCs w:val="28"/>
        </w:rPr>
        <w:t xml:space="preserve"> </w:t>
      </w:r>
    </w:p>
    <w:p w:rsidR="00715194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1</w:t>
      </w:r>
      <w:r w:rsidR="008B04C1">
        <w:rPr>
          <w:sz w:val="28"/>
          <w:szCs w:val="28"/>
        </w:rPr>
        <w:t>2</w:t>
      </w:r>
      <w:r w:rsidRPr="00B11BFF">
        <w:rPr>
          <w:sz w:val="28"/>
          <w:szCs w:val="28"/>
        </w:rPr>
        <w:t xml:space="preserve">. Личные дела подлежат регистрации в журнале </w:t>
      </w:r>
      <w:r w:rsidR="00715194" w:rsidRPr="00B11BFF">
        <w:rPr>
          <w:sz w:val="28"/>
          <w:szCs w:val="28"/>
        </w:rPr>
        <w:t>учета прибытия/выбытия получателей социальных услуг (Приложение 1</w:t>
      </w:r>
      <w:r w:rsidRPr="00B11BFF">
        <w:rPr>
          <w:sz w:val="28"/>
          <w:szCs w:val="28"/>
        </w:rPr>
        <w:t xml:space="preserve">). </w:t>
      </w:r>
    </w:p>
    <w:p w:rsidR="00467376" w:rsidRPr="00B11BFF" w:rsidRDefault="00467376" w:rsidP="00E61A0F">
      <w:pPr>
        <w:jc w:val="both"/>
        <w:rPr>
          <w:sz w:val="28"/>
          <w:szCs w:val="28"/>
        </w:rPr>
      </w:pPr>
    </w:p>
    <w:p w:rsidR="00CF3324" w:rsidRPr="00B11BFF" w:rsidRDefault="00CF3324" w:rsidP="00DD5F23">
      <w:pPr>
        <w:jc w:val="center"/>
        <w:rPr>
          <w:b/>
          <w:sz w:val="28"/>
          <w:szCs w:val="28"/>
        </w:rPr>
      </w:pPr>
    </w:p>
    <w:p w:rsidR="003C3213" w:rsidRPr="00B11BFF" w:rsidRDefault="00715194" w:rsidP="00DD5F23">
      <w:pPr>
        <w:jc w:val="center"/>
        <w:rPr>
          <w:b/>
          <w:sz w:val="28"/>
          <w:szCs w:val="28"/>
        </w:rPr>
      </w:pPr>
      <w:r w:rsidRPr="00B11BFF">
        <w:rPr>
          <w:b/>
          <w:sz w:val="28"/>
          <w:szCs w:val="28"/>
        </w:rPr>
        <w:t>I</w:t>
      </w:r>
      <w:r w:rsidRPr="00B11BFF">
        <w:rPr>
          <w:b/>
          <w:sz w:val="28"/>
          <w:szCs w:val="28"/>
          <w:lang w:val="en-US"/>
        </w:rPr>
        <w:t>II</w:t>
      </w:r>
      <w:r w:rsidRPr="00B11BFF">
        <w:rPr>
          <w:b/>
          <w:sz w:val="28"/>
          <w:szCs w:val="28"/>
        </w:rPr>
        <w:t>. Хранение личных дел</w:t>
      </w:r>
    </w:p>
    <w:p w:rsidR="00715194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1. Личные дела включаются в номенклатуру Учреждения под общим заголовком «Личные дела получателей социальных услуг» с указанием срока хранения в соответствии с требованиями законодательства.</w:t>
      </w:r>
    </w:p>
    <w:p w:rsidR="00715194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2.Личные дела хранятся в вертикальном положении в закрытом шкафу; размещаются в алфавитном порядке.</w:t>
      </w:r>
    </w:p>
    <w:p w:rsidR="00F13ACB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3.Личные дела, переданные на хранение, хранятся в специальном помещении</w:t>
      </w:r>
      <w:r w:rsidR="00715194" w:rsidRPr="00B11BFF">
        <w:rPr>
          <w:sz w:val="28"/>
          <w:szCs w:val="28"/>
        </w:rPr>
        <w:t xml:space="preserve"> (</w:t>
      </w:r>
      <w:r w:rsidR="00F13ACB" w:rsidRPr="00B11BFF">
        <w:rPr>
          <w:sz w:val="28"/>
          <w:szCs w:val="28"/>
        </w:rPr>
        <w:t xml:space="preserve">закрытом </w:t>
      </w:r>
      <w:r w:rsidR="00715194" w:rsidRPr="00B11BFF">
        <w:rPr>
          <w:sz w:val="28"/>
          <w:szCs w:val="28"/>
        </w:rPr>
        <w:t>шкафу)</w:t>
      </w:r>
      <w:r w:rsidRPr="00B11BFF">
        <w:rPr>
          <w:sz w:val="28"/>
          <w:szCs w:val="28"/>
        </w:rPr>
        <w:t>, изолированном для доступа посторонних лиц</w:t>
      </w:r>
    </w:p>
    <w:p w:rsidR="00715194" w:rsidRPr="00B11BFF" w:rsidRDefault="003C3213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4. </w:t>
      </w:r>
      <w:proofErr w:type="gramStart"/>
      <w:r w:rsidRPr="00B11BFF">
        <w:rPr>
          <w:sz w:val="28"/>
          <w:szCs w:val="28"/>
        </w:rPr>
        <w:t>При смене получателем социальных услуг поставщика социальных услуг, предоставляющего социальные на основании заявления получателя социальных услуг (законного представителя) или при прекращении предоставления социальных услуг</w:t>
      </w:r>
      <w:r w:rsidR="00715194" w:rsidRPr="00B11BFF">
        <w:rPr>
          <w:sz w:val="28"/>
          <w:szCs w:val="28"/>
        </w:rPr>
        <w:t>,</w:t>
      </w:r>
      <w:r w:rsidRPr="00B11BFF">
        <w:rPr>
          <w:sz w:val="28"/>
          <w:szCs w:val="28"/>
        </w:rPr>
        <w:t xml:space="preserve"> личное дело получателя социальных услуг, сформированное Учреждением, остается в Учреждении, как подтверждение факта предоставления социальных услуг. </w:t>
      </w:r>
      <w:proofErr w:type="gramEnd"/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5. Работник, ответственный за ведение, учет и хранение личных дел, обязан обеспечить надежную сохранность личных дел и конфиденциальность сведений при их хранении.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6. Действующие и снятые с учета личные дела хранятся раздельно</w:t>
      </w:r>
    </w:p>
    <w:p w:rsidR="003C3213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7</w:t>
      </w:r>
      <w:r w:rsidR="003C3213" w:rsidRPr="00B11BFF">
        <w:rPr>
          <w:sz w:val="28"/>
          <w:szCs w:val="28"/>
        </w:rPr>
        <w:t xml:space="preserve">. Работник, ответственный за ведение, учет и хранение личных дел, обязан обеспечить надежную сохранность личных дел и конфиденциальность сведений при их хранении. В соответствии со статьей 6 Федерального закона от 28.12.2013 №442-ФЗ «Об основах социального обслуживания граждан в Российской Федерации» сведения, содержащиеся в личном деле получателя социальных услуг, составляют информацию конфиденциального характера или служебную информацию. Разглашение информации о получателях </w:t>
      </w:r>
      <w:r w:rsidR="003C3213" w:rsidRPr="00B11BFF">
        <w:rPr>
          <w:sz w:val="28"/>
          <w:szCs w:val="28"/>
        </w:rPr>
        <w:lastRenderedPageBreak/>
        <w:t>социальных услуг влечет за собой ответственность в соответствии с законодательством Российской Федерации</w:t>
      </w:r>
    </w:p>
    <w:p w:rsidR="00F13ACB" w:rsidRPr="00B11BFF" w:rsidRDefault="00F13ACB" w:rsidP="00DD5F23">
      <w:pPr>
        <w:jc w:val="center"/>
        <w:rPr>
          <w:sz w:val="28"/>
          <w:szCs w:val="28"/>
        </w:rPr>
      </w:pPr>
    </w:p>
    <w:p w:rsidR="00F13ACB" w:rsidRPr="00B11BFF" w:rsidRDefault="00F13ACB" w:rsidP="00DD5F23">
      <w:pPr>
        <w:jc w:val="center"/>
        <w:rPr>
          <w:b/>
          <w:sz w:val="28"/>
          <w:szCs w:val="28"/>
        </w:rPr>
      </w:pPr>
      <w:r w:rsidRPr="00B11BFF">
        <w:rPr>
          <w:b/>
          <w:sz w:val="28"/>
          <w:szCs w:val="28"/>
          <w:lang w:val="en-US"/>
        </w:rPr>
        <w:t>IV</w:t>
      </w:r>
      <w:r w:rsidRPr="00B11BFF">
        <w:rPr>
          <w:b/>
          <w:sz w:val="28"/>
          <w:szCs w:val="28"/>
        </w:rPr>
        <w:t>. Процедура снятия личных дел с учета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1. В случае прекращения предоставления социальных услуг гражданам, личные дела получателей социальных услуг снимаются с учета и передаются в архив учреждения. 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2. Основаниями для снятия личного дела получателя социальных услуг с учета и передачи его в архив являются: 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 личное письменное заявление гражданина (его законного представителя);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-по истечении срока социального обслуживания, указанного в Договоре на социальное обслуживание; 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 при отказе от выполнения своих обязательств, указанных в Договоре на социальное обслуживание;</w:t>
      </w:r>
    </w:p>
    <w:p w:rsidR="00F13ACB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 при отправке гражданина к прежнему или постоянному месту жительства;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-в связи с переводом в стационарное учреждение социального обслуживания или утраты способности к самообслуживанию;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 на основании решения суда, вступившего в законную силу</w:t>
      </w:r>
      <w:r w:rsidR="00434A4F" w:rsidRPr="00B11BFF">
        <w:rPr>
          <w:sz w:val="28"/>
          <w:szCs w:val="28"/>
        </w:rPr>
        <w:t>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 в случае представления о себе заведомо ложной информации;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3. После получения и</w:t>
      </w:r>
      <w:r w:rsidR="00434A4F" w:rsidRPr="00B11BFF">
        <w:rPr>
          <w:sz w:val="28"/>
          <w:szCs w:val="28"/>
        </w:rPr>
        <w:t>нформации, указанной в пункте 2 настоящих Правил:</w:t>
      </w:r>
    </w:p>
    <w:p w:rsidR="00434A4F" w:rsidRPr="00B11BFF" w:rsidRDefault="00434A4F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-инспектор по кадрам</w:t>
      </w:r>
      <w:r w:rsidR="00F13ACB" w:rsidRPr="00B11BFF">
        <w:rPr>
          <w:sz w:val="28"/>
          <w:szCs w:val="28"/>
        </w:rPr>
        <w:t xml:space="preserve"> </w:t>
      </w:r>
      <w:r w:rsidRPr="00B11BFF">
        <w:rPr>
          <w:sz w:val="28"/>
          <w:szCs w:val="28"/>
        </w:rPr>
        <w:t>(специалист по социальной работе)</w:t>
      </w:r>
      <w:r w:rsidR="00F13ACB" w:rsidRPr="00B11BFF">
        <w:rPr>
          <w:sz w:val="28"/>
          <w:szCs w:val="28"/>
        </w:rPr>
        <w:t xml:space="preserve"> </w:t>
      </w:r>
      <w:r w:rsidRPr="00B11BFF">
        <w:rPr>
          <w:sz w:val="28"/>
          <w:szCs w:val="28"/>
        </w:rPr>
        <w:t xml:space="preserve">готовит приказ </w:t>
      </w:r>
      <w:r w:rsidR="00F13ACB" w:rsidRPr="00B11BFF">
        <w:rPr>
          <w:sz w:val="28"/>
          <w:szCs w:val="28"/>
        </w:rPr>
        <w:t>о снятии получателя социальных услуг с учета;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</w:t>
      </w:r>
      <w:r w:rsidR="00434A4F" w:rsidRPr="00B11BFF">
        <w:rPr>
          <w:sz w:val="28"/>
          <w:szCs w:val="28"/>
        </w:rPr>
        <w:t>заведующий отделением</w:t>
      </w:r>
      <w:r w:rsidRPr="00B11BFF">
        <w:rPr>
          <w:sz w:val="28"/>
          <w:szCs w:val="28"/>
        </w:rPr>
        <w:t xml:space="preserve"> приобщает приказ в личное дело;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>- ставит на обложке личного дела отметку о снятии личного дела с учета;</w:t>
      </w:r>
    </w:p>
    <w:p w:rsidR="00434A4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 производит отметку о снятии личного дела с учета в Журнале учета личных дел</w:t>
      </w:r>
      <w:r w:rsidR="00434A4F" w:rsidRPr="00B11BFF">
        <w:rPr>
          <w:sz w:val="28"/>
          <w:szCs w:val="28"/>
        </w:rPr>
        <w:t xml:space="preserve"> или в Журнале </w:t>
      </w:r>
      <w:proofErr w:type="gramStart"/>
      <w:r w:rsidR="00434A4F" w:rsidRPr="00B11BFF">
        <w:rPr>
          <w:sz w:val="28"/>
          <w:szCs w:val="28"/>
        </w:rPr>
        <w:t>учета прибытия/выбытия получателей социальных услуг</w:t>
      </w:r>
      <w:proofErr w:type="gramEnd"/>
      <w:r w:rsidRPr="00B11BFF">
        <w:rPr>
          <w:sz w:val="28"/>
          <w:szCs w:val="28"/>
        </w:rPr>
        <w:t>;</w:t>
      </w:r>
    </w:p>
    <w:p w:rsidR="00E61A0F" w:rsidRPr="00B11BFF" w:rsidRDefault="00F13ACB" w:rsidP="00E61A0F">
      <w:pPr>
        <w:jc w:val="both"/>
        <w:rPr>
          <w:sz w:val="28"/>
          <w:szCs w:val="28"/>
        </w:rPr>
      </w:pPr>
      <w:r w:rsidRPr="00B11BFF">
        <w:rPr>
          <w:sz w:val="28"/>
          <w:szCs w:val="28"/>
        </w:rPr>
        <w:t xml:space="preserve"> - направляет </w:t>
      </w:r>
      <w:r w:rsidR="00434A4F" w:rsidRPr="00B11BFF">
        <w:rPr>
          <w:sz w:val="28"/>
          <w:szCs w:val="28"/>
        </w:rPr>
        <w:t>личное дело в архив  У</w:t>
      </w:r>
      <w:r w:rsidRPr="00B11BFF">
        <w:rPr>
          <w:sz w:val="28"/>
          <w:szCs w:val="28"/>
        </w:rPr>
        <w:t>чреждения (</w:t>
      </w:r>
      <w:r w:rsidR="00434A4F" w:rsidRPr="00B11BFF">
        <w:rPr>
          <w:sz w:val="28"/>
          <w:szCs w:val="28"/>
        </w:rPr>
        <w:t xml:space="preserve">структурного подразделения </w:t>
      </w:r>
      <w:r w:rsidR="00870DFD" w:rsidRPr="00B11BFF">
        <w:rPr>
          <w:sz w:val="28"/>
          <w:szCs w:val="28"/>
        </w:rPr>
        <w:t>учреждения).</w:t>
      </w:r>
    </w:p>
    <w:p w:rsidR="00CF3324" w:rsidRPr="00B11BFF" w:rsidRDefault="00CF3324" w:rsidP="00E61A0F">
      <w:pPr>
        <w:jc w:val="both"/>
        <w:rPr>
          <w:sz w:val="28"/>
          <w:szCs w:val="28"/>
        </w:rPr>
      </w:pPr>
    </w:p>
    <w:p w:rsidR="00CF3324" w:rsidRPr="00B11BFF" w:rsidRDefault="00CF3324" w:rsidP="00E61A0F">
      <w:pPr>
        <w:jc w:val="both"/>
        <w:rPr>
          <w:sz w:val="28"/>
          <w:szCs w:val="28"/>
        </w:rPr>
      </w:pPr>
    </w:p>
    <w:p w:rsidR="00CF3324" w:rsidRDefault="00CF3324" w:rsidP="00E61A0F">
      <w:pPr>
        <w:jc w:val="both"/>
      </w:pPr>
    </w:p>
    <w:p w:rsidR="00CF3324" w:rsidRDefault="00CF3324" w:rsidP="00E61A0F">
      <w:pPr>
        <w:jc w:val="both"/>
      </w:pPr>
    </w:p>
    <w:p w:rsidR="00CF3324" w:rsidRDefault="00CF3324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EB4A5B" w:rsidRDefault="00EB4A5B" w:rsidP="00E61A0F">
      <w:pPr>
        <w:jc w:val="both"/>
      </w:pPr>
    </w:p>
    <w:p w:rsidR="008B04C1" w:rsidRDefault="008B04C1" w:rsidP="00E61A0F">
      <w:pPr>
        <w:jc w:val="both"/>
      </w:pPr>
    </w:p>
    <w:p w:rsidR="008B04C1" w:rsidRDefault="008B04C1" w:rsidP="00E61A0F">
      <w:pPr>
        <w:jc w:val="both"/>
      </w:pPr>
    </w:p>
    <w:p w:rsidR="00CF3324" w:rsidRDefault="00CF3324" w:rsidP="00E61A0F">
      <w:pPr>
        <w:jc w:val="both"/>
      </w:pPr>
    </w:p>
    <w:p w:rsidR="00E61A0F" w:rsidRDefault="00E61A0F" w:rsidP="00E61A0F">
      <w:pPr>
        <w:jc w:val="right"/>
      </w:pPr>
      <w:r>
        <w:lastRenderedPageBreak/>
        <w:t>Приложение 1</w:t>
      </w:r>
    </w:p>
    <w:p w:rsidR="00E61A0F" w:rsidRDefault="00E61A0F" w:rsidP="00E61A0F">
      <w:pPr>
        <w:jc w:val="right"/>
      </w:pPr>
      <w:r>
        <w:t>к положению</w:t>
      </w:r>
    </w:p>
    <w:p w:rsidR="00E61A0F" w:rsidRDefault="00E61A0F" w:rsidP="00E61A0F">
      <w:pPr>
        <w:jc w:val="right"/>
      </w:pPr>
      <w:r>
        <w:t>по ведению личных дел</w:t>
      </w:r>
    </w:p>
    <w:p w:rsidR="00E61A0F" w:rsidRDefault="00E61A0F" w:rsidP="00E61A0F">
      <w:pPr>
        <w:jc w:val="right"/>
      </w:pPr>
      <w:r>
        <w:t>получателей социальных услуг</w:t>
      </w:r>
    </w:p>
    <w:p w:rsidR="00E61A0F" w:rsidRDefault="00E61A0F" w:rsidP="00E61A0F">
      <w:pPr>
        <w:jc w:val="right"/>
      </w:pPr>
    </w:p>
    <w:p w:rsidR="00E61A0F" w:rsidRPr="00E61A0F" w:rsidRDefault="00E61A0F" w:rsidP="00E61A0F">
      <w:pPr>
        <w:jc w:val="center"/>
        <w:rPr>
          <w:b/>
        </w:rPr>
      </w:pPr>
      <w:r w:rsidRPr="00E61A0F">
        <w:rPr>
          <w:b/>
        </w:rPr>
        <w:t xml:space="preserve">Журнал </w:t>
      </w:r>
      <w:proofErr w:type="gramStart"/>
      <w:r w:rsidRPr="00E61A0F">
        <w:rPr>
          <w:b/>
        </w:rPr>
        <w:t>учета прибытия/выбытия получателей социальных услуг</w:t>
      </w:r>
      <w:proofErr w:type="gramEnd"/>
    </w:p>
    <w:p w:rsidR="00E61A0F" w:rsidRDefault="00E61A0F" w:rsidP="00E61A0F">
      <w:pPr>
        <w:jc w:val="center"/>
      </w:pPr>
    </w:p>
    <w:p w:rsidR="00E61A0F" w:rsidRDefault="00E61A0F" w:rsidP="00E61A0F">
      <w:pPr>
        <w:jc w:val="center"/>
      </w:pPr>
    </w:p>
    <w:p w:rsidR="00434A4F" w:rsidRDefault="00434A4F" w:rsidP="00E61A0F">
      <w:pPr>
        <w:jc w:val="both"/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69"/>
        <w:gridCol w:w="2350"/>
        <w:gridCol w:w="1276"/>
        <w:gridCol w:w="1701"/>
        <w:gridCol w:w="1238"/>
        <w:gridCol w:w="1348"/>
        <w:gridCol w:w="1348"/>
      </w:tblGrid>
      <w:tr w:rsidR="00E61A0F" w:rsidTr="00E61A0F">
        <w:tc>
          <w:tcPr>
            <w:tcW w:w="769" w:type="dxa"/>
          </w:tcPr>
          <w:p w:rsidR="00E61A0F" w:rsidRDefault="00E61A0F" w:rsidP="00E61A0F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0" w:type="dxa"/>
          </w:tcPr>
          <w:p w:rsidR="00E61A0F" w:rsidRDefault="00E61A0F" w:rsidP="00E61A0F">
            <w:pPr>
              <w:jc w:val="both"/>
            </w:pPr>
            <w:r>
              <w:t>ФИО получателя</w:t>
            </w:r>
          </w:p>
          <w:p w:rsidR="00E61A0F" w:rsidRDefault="00E61A0F" w:rsidP="00E61A0F">
            <w:pPr>
              <w:jc w:val="both"/>
            </w:pPr>
            <w:r>
              <w:t>социальных услуг</w:t>
            </w:r>
          </w:p>
        </w:tc>
        <w:tc>
          <w:tcPr>
            <w:tcW w:w="1276" w:type="dxa"/>
          </w:tcPr>
          <w:p w:rsidR="00E61A0F" w:rsidRDefault="00E61A0F" w:rsidP="00E61A0F">
            <w:pPr>
              <w:jc w:val="both"/>
            </w:pPr>
            <w:r>
              <w:t>Дата рождения</w:t>
            </w:r>
          </w:p>
        </w:tc>
        <w:tc>
          <w:tcPr>
            <w:tcW w:w="1701" w:type="dxa"/>
          </w:tcPr>
          <w:p w:rsidR="00E61A0F" w:rsidRDefault="00E61A0F" w:rsidP="00E61A0F">
            <w:pPr>
              <w:jc w:val="both"/>
            </w:pPr>
            <w:proofErr w:type="gramStart"/>
            <w:r>
              <w:t>Регистра-</w:t>
            </w:r>
            <w:proofErr w:type="spellStart"/>
            <w:r>
              <w:t>ционный</w:t>
            </w:r>
            <w:proofErr w:type="spellEnd"/>
            <w:proofErr w:type="gramEnd"/>
          </w:p>
          <w:p w:rsidR="00E61A0F" w:rsidRDefault="00E61A0F" w:rsidP="00E61A0F">
            <w:pPr>
              <w:jc w:val="both"/>
            </w:pPr>
            <w:r>
              <w:t xml:space="preserve">номер </w:t>
            </w:r>
            <w:proofErr w:type="gramStart"/>
            <w:r>
              <w:t>личного</w:t>
            </w:r>
            <w:proofErr w:type="gramEnd"/>
          </w:p>
          <w:p w:rsidR="00E61A0F" w:rsidRDefault="00E61A0F" w:rsidP="00E61A0F">
            <w:pPr>
              <w:jc w:val="both"/>
            </w:pPr>
            <w:r>
              <w:t>дела</w:t>
            </w:r>
          </w:p>
        </w:tc>
        <w:tc>
          <w:tcPr>
            <w:tcW w:w="1238" w:type="dxa"/>
          </w:tcPr>
          <w:p w:rsidR="00E61A0F" w:rsidRDefault="00E61A0F" w:rsidP="00E61A0F">
            <w:pPr>
              <w:jc w:val="both"/>
            </w:pPr>
            <w:r>
              <w:t>Дата</w:t>
            </w:r>
          </w:p>
          <w:p w:rsidR="00E61A0F" w:rsidRDefault="00E61A0F" w:rsidP="00E61A0F">
            <w:pPr>
              <w:jc w:val="both"/>
            </w:pPr>
            <w:r>
              <w:t>прибытия</w:t>
            </w:r>
          </w:p>
        </w:tc>
        <w:tc>
          <w:tcPr>
            <w:tcW w:w="1348" w:type="dxa"/>
          </w:tcPr>
          <w:p w:rsidR="00E61A0F" w:rsidRDefault="00E61A0F" w:rsidP="00E61A0F">
            <w:pPr>
              <w:jc w:val="both"/>
            </w:pPr>
            <w:r>
              <w:t>Дата убытия</w:t>
            </w:r>
          </w:p>
        </w:tc>
        <w:tc>
          <w:tcPr>
            <w:tcW w:w="1348" w:type="dxa"/>
          </w:tcPr>
          <w:p w:rsidR="00E61A0F" w:rsidRDefault="00E61A0F" w:rsidP="00E61A0F">
            <w:pPr>
              <w:jc w:val="both"/>
            </w:pPr>
            <w:r>
              <w:t>Место убытия</w:t>
            </w:r>
          </w:p>
        </w:tc>
      </w:tr>
      <w:tr w:rsidR="00E61A0F" w:rsidTr="00E61A0F">
        <w:tc>
          <w:tcPr>
            <w:tcW w:w="769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2350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276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701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238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348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348" w:type="dxa"/>
          </w:tcPr>
          <w:p w:rsidR="00E61A0F" w:rsidRDefault="00E61A0F" w:rsidP="00E61A0F">
            <w:pPr>
              <w:jc w:val="both"/>
            </w:pPr>
          </w:p>
        </w:tc>
      </w:tr>
      <w:tr w:rsidR="00E61A0F" w:rsidTr="00E61A0F">
        <w:tc>
          <w:tcPr>
            <w:tcW w:w="769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2350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276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701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238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348" w:type="dxa"/>
          </w:tcPr>
          <w:p w:rsidR="00E61A0F" w:rsidRDefault="00E61A0F" w:rsidP="00E61A0F">
            <w:pPr>
              <w:jc w:val="both"/>
            </w:pPr>
          </w:p>
        </w:tc>
        <w:tc>
          <w:tcPr>
            <w:tcW w:w="1348" w:type="dxa"/>
          </w:tcPr>
          <w:p w:rsidR="00E61A0F" w:rsidRDefault="00E61A0F" w:rsidP="00E61A0F">
            <w:pPr>
              <w:jc w:val="both"/>
            </w:pPr>
          </w:p>
        </w:tc>
      </w:tr>
    </w:tbl>
    <w:p w:rsidR="00434A4F" w:rsidRDefault="00434A4F" w:rsidP="00E61A0F">
      <w:pPr>
        <w:jc w:val="both"/>
      </w:pPr>
    </w:p>
    <w:p w:rsidR="00434A4F" w:rsidRDefault="00434A4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61A0F" w:rsidRDefault="00E61A0F"/>
    <w:p w:rsidR="00E03064" w:rsidRDefault="00E03064"/>
    <w:p w:rsidR="00E61A0F" w:rsidRDefault="00E61A0F"/>
    <w:p w:rsidR="00CF3324" w:rsidRDefault="00CF3324"/>
    <w:p w:rsidR="00E61A0F" w:rsidRDefault="00C27846" w:rsidP="00E61A0F">
      <w:pPr>
        <w:jc w:val="right"/>
      </w:pPr>
      <w:r>
        <w:lastRenderedPageBreak/>
        <w:t>Приложение 2</w:t>
      </w:r>
    </w:p>
    <w:p w:rsidR="00E61A0F" w:rsidRDefault="00E61A0F" w:rsidP="00E61A0F">
      <w:pPr>
        <w:jc w:val="right"/>
      </w:pPr>
      <w:r>
        <w:t>к положению</w:t>
      </w:r>
    </w:p>
    <w:p w:rsidR="00E61A0F" w:rsidRDefault="00E61A0F" w:rsidP="00E61A0F">
      <w:pPr>
        <w:jc w:val="right"/>
      </w:pPr>
      <w:r>
        <w:t>по ведению личных дел</w:t>
      </w:r>
    </w:p>
    <w:p w:rsidR="00E61A0F" w:rsidRDefault="00E61A0F" w:rsidP="00E61A0F">
      <w:pPr>
        <w:jc w:val="right"/>
      </w:pPr>
      <w:r>
        <w:t>получателей социальных услуг</w:t>
      </w:r>
    </w:p>
    <w:p w:rsidR="00E61A0F" w:rsidRDefault="00E61A0F" w:rsidP="00E61A0F">
      <w:pPr>
        <w:jc w:val="right"/>
      </w:pPr>
    </w:p>
    <w:p w:rsidR="00E61A0F" w:rsidRPr="00E61A0F" w:rsidRDefault="00E61A0F" w:rsidP="00E61A0F">
      <w:pPr>
        <w:jc w:val="center"/>
        <w:rPr>
          <w:b/>
          <w:sz w:val="28"/>
          <w:szCs w:val="28"/>
        </w:rPr>
      </w:pPr>
      <w:r w:rsidRPr="00E61A0F">
        <w:rPr>
          <w:b/>
          <w:sz w:val="28"/>
          <w:szCs w:val="28"/>
        </w:rPr>
        <w:t>ОПИСЬ</w:t>
      </w:r>
    </w:p>
    <w:p w:rsidR="00E61A0F" w:rsidRPr="00E61A0F" w:rsidRDefault="00E61A0F" w:rsidP="00E61A0F">
      <w:pPr>
        <w:jc w:val="center"/>
        <w:rPr>
          <w:b/>
          <w:sz w:val="28"/>
          <w:szCs w:val="28"/>
        </w:rPr>
      </w:pPr>
      <w:r w:rsidRPr="00E61A0F">
        <w:rPr>
          <w:b/>
          <w:sz w:val="28"/>
          <w:szCs w:val="28"/>
        </w:rPr>
        <w:t>документов личного дела</w:t>
      </w:r>
    </w:p>
    <w:p w:rsidR="00434A4F" w:rsidRPr="00E03064" w:rsidRDefault="00434A4F" w:rsidP="00E61A0F">
      <w:pPr>
        <w:jc w:val="center"/>
        <w:rPr>
          <w:sz w:val="28"/>
          <w:szCs w:val="28"/>
        </w:rPr>
      </w:pPr>
    </w:p>
    <w:p w:rsidR="00E61A0F" w:rsidRPr="00E03064" w:rsidRDefault="00E61A0F" w:rsidP="00E61A0F">
      <w:pPr>
        <w:jc w:val="center"/>
        <w:rPr>
          <w:sz w:val="28"/>
          <w:szCs w:val="28"/>
        </w:rPr>
      </w:pPr>
      <w:r w:rsidRPr="00E03064">
        <w:rPr>
          <w:sz w:val="28"/>
          <w:szCs w:val="28"/>
        </w:rPr>
        <w:t>(ФИО получателя социальных услуг)</w:t>
      </w:r>
    </w:p>
    <w:p w:rsidR="00E61A0F" w:rsidRPr="00E03064" w:rsidRDefault="00E61A0F" w:rsidP="00E61A0F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</w:pPr>
            <w:r w:rsidRPr="00E03064">
              <w:t xml:space="preserve">№ </w:t>
            </w:r>
            <w:proofErr w:type="gramStart"/>
            <w:r w:rsidRPr="00E03064">
              <w:t>п</w:t>
            </w:r>
            <w:proofErr w:type="gramEnd"/>
            <w:r w:rsidRPr="00E03064">
              <w:t>/п</w:t>
            </w: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</w:pPr>
            <w:r w:rsidRPr="00E03064">
              <w:t>Наименование документа</w:t>
            </w: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</w:pPr>
            <w:r w:rsidRPr="00E03064">
              <w:t>Дата включения в личное дело</w:t>
            </w: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</w:pPr>
            <w:r w:rsidRPr="00E03064">
              <w:t>Номер страницы</w:t>
            </w: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</w:pPr>
            <w:r w:rsidRPr="00E03064">
              <w:t>Примечание</w:t>
            </w: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  <w:tr w:rsidR="00C27846" w:rsidRPr="00E03064" w:rsidTr="00C27846">
        <w:tc>
          <w:tcPr>
            <w:tcW w:w="817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7846" w:rsidRPr="00E03064" w:rsidRDefault="00C27846" w:rsidP="00E61A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1A0F" w:rsidRDefault="00E61A0F" w:rsidP="00E61A0F">
      <w:pPr>
        <w:jc w:val="center"/>
      </w:pPr>
    </w:p>
    <w:p w:rsidR="00E03064" w:rsidRDefault="00E03064" w:rsidP="00E61A0F">
      <w:pPr>
        <w:jc w:val="center"/>
      </w:pPr>
    </w:p>
    <w:p w:rsidR="00E03064" w:rsidRDefault="00E03064" w:rsidP="00E61A0F">
      <w:pPr>
        <w:jc w:val="center"/>
      </w:pPr>
    </w:p>
    <w:p w:rsidR="00434A4F" w:rsidRDefault="00434A4F"/>
    <w:p w:rsidR="00434A4F" w:rsidRDefault="00E03064">
      <w:r>
        <w:t>Итого документов</w:t>
      </w:r>
      <w:proofErr w:type="gramStart"/>
      <w:r>
        <w:t xml:space="preserve">  (____________________)</w:t>
      </w:r>
      <w:proofErr w:type="gramEnd"/>
    </w:p>
    <w:p w:rsidR="00E03064" w:rsidRDefault="00E03064">
      <w:r>
        <w:t>________________________________________________________</w:t>
      </w:r>
    </w:p>
    <w:p w:rsidR="00434A4F" w:rsidRDefault="00E03064">
      <w:r>
        <w:t xml:space="preserve">   (цифрами)                                       (прописью)</w:t>
      </w:r>
    </w:p>
    <w:p w:rsidR="00C27846" w:rsidRDefault="00C27846"/>
    <w:p w:rsidR="00E03064" w:rsidRDefault="00E03064"/>
    <w:p w:rsidR="00E03064" w:rsidRDefault="00E03064">
      <w:r>
        <w:t>Количество листов описи</w:t>
      </w:r>
      <w:proofErr w:type="gramStart"/>
      <w:r>
        <w:t xml:space="preserve"> (_______________)</w:t>
      </w:r>
      <w:proofErr w:type="gramEnd"/>
    </w:p>
    <w:p w:rsidR="00E03064" w:rsidRDefault="00E03064"/>
    <w:p w:rsidR="00E03064" w:rsidRDefault="00E03064" w:rsidP="00E03064">
      <w:r>
        <w:t>________________________________________________________</w:t>
      </w:r>
    </w:p>
    <w:p w:rsidR="00E03064" w:rsidRDefault="00E03064" w:rsidP="00E03064">
      <w:r>
        <w:t xml:space="preserve">   (цифрами)                                       (прописью)</w:t>
      </w:r>
    </w:p>
    <w:p w:rsidR="00C27846" w:rsidRDefault="00C27846"/>
    <w:p w:rsidR="00E03064" w:rsidRDefault="00E03064">
      <w:r>
        <w:t>Опись состави</w:t>
      </w:r>
      <w:proofErr w:type="gramStart"/>
      <w:r>
        <w:t>л(</w:t>
      </w:r>
      <w:proofErr w:type="gramEnd"/>
      <w:r>
        <w:t>а)</w:t>
      </w:r>
    </w:p>
    <w:p w:rsidR="00E03064" w:rsidRDefault="00E03064"/>
    <w:p w:rsidR="00E03064" w:rsidRDefault="00E03064">
      <w:r>
        <w:t>_________________________________________________________</w:t>
      </w:r>
    </w:p>
    <w:p w:rsidR="00C27846" w:rsidRDefault="00C27846"/>
    <w:p w:rsidR="00C27846" w:rsidRDefault="00C27846"/>
    <w:p w:rsidR="00C27846" w:rsidRDefault="00C27846"/>
    <w:p w:rsidR="002D33AF" w:rsidRDefault="002D33AF">
      <w:bookmarkStart w:id="0" w:name="_GoBack"/>
      <w:bookmarkEnd w:id="0"/>
    </w:p>
    <w:p w:rsidR="002D33AF" w:rsidRDefault="002D33AF"/>
    <w:sectPr w:rsidR="002D33AF" w:rsidSect="00CF332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7787"/>
    <w:multiLevelType w:val="hybridMultilevel"/>
    <w:tmpl w:val="40625A8E"/>
    <w:lvl w:ilvl="0" w:tplc="B652E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4A"/>
    <w:rsid w:val="0013736C"/>
    <w:rsid w:val="00224D33"/>
    <w:rsid w:val="0028414A"/>
    <w:rsid w:val="002B5A16"/>
    <w:rsid w:val="002D33AF"/>
    <w:rsid w:val="002E7CB4"/>
    <w:rsid w:val="00303C00"/>
    <w:rsid w:val="003C3213"/>
    <w:rsid w:val="00434A4F"/>
    <w:rsid w:val="00467376"/>
    <w:rsid w:val="004D1498"/>
    <w:rsid w:val="004E44A7"/>
    <w:rsid w:val="00576C82"/>
    <w:rsid w:val="00667D1E"/>
    <w:rsid w:val="006C14AA"/>
    <w:rsid w:val="00715194"/>
    <w:rsid w:val="00751A37"/>
    <w:rsid w:val="00861F57"/>
    <w:rsid w:val="00870DFD"/>
    <w:rsid w:val="008B04C1"/>
    <w:rsid w:val="008C511C"/>
    <w:rsid w:val="008E31E5"/>
    <w:rsid w:val="009241A3"/>
    <w:rsid w:val="009322F2"/>
    <w:rsid w:val="009E28ED"/>
    <w:rsid w:val="00A4772B"/>
    <w:rsid w:val="00A9545E"/>
    <w:rsid w:val="00AC4DDC"/>
    <w:rsid w:val="00AD6ECE"/>
    <w:rsid w:val="00B11BFF"/>
    <w:rsid w:val="00B62D0B"/>
    <w:rsid w:val="00C27846"/>
    <w:rsid w:val="00C40858"/>
    <w:rsid w:val="00C74822"/>
    <w:rsid w:val="00CF3324"/>
    <w:rsid w:val="00DA36F6"/>
    <w:rsid w:val="00DD5F23"/>
    <w:rsid w:val="00E03064"/>
    <w:rsid w:val="00E61A0F"/>
    <w:rsid w:val="00E97143"/>
    <w:rsid w:val="00EB4A5B"/>
    <w:rsid w:val="00EC2632"/>
    <w:rsid w:val="00ED1F58"/>
    <w:rsid w:val="00F13ACB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414A"/>
    <w:pPr>
      <w:keepNext/>
      <w:framePr w:hSpace="180" w:wrap="around" w:vAnchor="page" w:hAnchor="margin" w:y="1855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4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8414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841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2841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33AF"/>
    <w:pPr>
      <w:ind w:left="720"/>
      <w:contextualSpacing/>
    </w:pPr>
  </w:style>
  <w:style w:type="paragraph" w:customStyle="1" w:styleId="rtejustify">
    <w:name w:val="rtejustify"/>
    <w:basedOn w:val="a"/>
    <w:rsid w:val="006C14A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C14AA"/>
    <w:rPr>
      <w:b/>
      <w:bCs/>
    </w:rPr>
  </w:style>
  <w:style w:type="table" w:styleId="a8">
    <w:name w:val="Table Grid"/>
    <w:basedOn w:val="a1"/>
    <w:uiPriority w:val="59"/>
    <w:rsid w:val="00E6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41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414A"/>
    <w:pPr>
      <w:keepNext/>
      <w:framePr w:hSpace="180" w:wrap="around" w:vAnchor="page" w:hAnchor="margin" w:y="1855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4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8414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841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2841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33AF"/>
    <w:pPr>
      <w:ind w:left="720"/>
      <w:contextualSpacing/>
    </w:pPr>
  </w:style>
  <w:style w:type="paragraph" w:customStyle="1" w:styleId="rtejustify">
    <w:name w:val="rtejustify"/>
    <w:basedOn w:val="a"/>
    <w:rsid w:val="006C14A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C14AA"/>
    <w:rPr>
      <w:b/>
      <w:bCs/>
    </w:rPr>
  </w:style>
  <w:style w:type="table" w:styleId="a8">
    <w:name w:val="Table Grid"/>
    <w:basedOn w:val="a1"/>
    <w:uiPriority w:val="59"/>
    <w:rsid w:val="00E6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41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2021-04-15T12:06:00Z</cp:lastPrinted>
  <dcterms:created xsi:type="dcterms:W3CDTF">2020-06-30T04:22:00Z</dcterms:created>
  <dcterms:modified xsi:type="dcterms:W3CDTF">2021-04-15T12:07:00Z</dcterms:modified>
</cp:coreProperties>
</file>